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xmlns:w="http://schemas.openxmlformats.org/wordprocessingml/2006/main">
        <w:pStyle w:val="BodyText"/>
        <w:ind w:start="709" w:end="0"/>
        <w:jc w:val="start"/>
        <w:rPr>
          <w:rFonts w:ascii="Times New Roman" w:hAnsi="Times New Roman" w:cs="Times New Roman"/>
          <w:b/>
          <w:i/>
          <w:sz w:val="28"/>
          <w:szCs w:val="28"/>
        </w:rPr>
      </w:pPr>
      <w:r xmlns:w="http://schemas.openxmlformats.org/wordprocessingml/2006/main">
        <w:rPr>
          <w:rFonts w:cs="Times New Roman" w:ascii="Times New Roman" w:hAnsi="Times New Roman"/>
          <w:b/>
          <w:i/>
          <w:sz w:val="28"/>
          <w:szCs w:val="28"/>
        </w:rPr>
        <w:t xml:space="preserve">PROTECTION OF THE RIGHT TO LIFE UNDER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b/>
          <w:i/>
          <w:sz w:val="28"/>
          <w:szCs w:val="28"/>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"%D0%B5%D0%BA%D0%BF%D1%87%D0%BE%D1%812"</w:instrText>
      </w:r>
      <w:r xmlns:w="http://schemas.openxmlformats.org/wordprocessingml/2006/main">
        <w:rPr>
          <w:rStyle w:val="Hyperlink"/>
          <w:rFonts w:cs="Times New Roman" w:ascii="Times New Roman" w:hAnsi="Times New Roman"/>
          <w:b/>
          <w:i/>
          <w:sz w:val="28"/>
          <w:szCs w:val="28"/>
        </w:rPr>
        <w:fldChar xmlns:w="http://schemas.openxmlformats.org/wordprocessingml/2006/main" w:fldCharType="separate"/>
      </w:r>
      <w:r xmlns:w="http://schemas.openxmlformats.org/wordprocessingml/2006/main">
        <w:rPr>
          <w:rStyle w:val="Hyperlink"/>
          <w:rFonts w:cs="Times New Roman" w:ascii="Times New Roman" w:hAnsi="Times New Roman"/>
          <w:b/>
          <w:i/>
          <w:sz w:val="28"/>
          <w:szCs w:val="28"/>
        </w:rPr>
        <w:t xml:space="preserve">ARTICLE 2 </w:t>
      </w:r>
      <w:r xmlns:w="http://schemas.openxmlformats.org/wordprocessingml/2006/main">
        <w:rPr>
          <w:rStyle w:val="Hyperlink"/>
          <w:rFonts w:cs="Times New Roman" w:ascii="Times New Roman" w:hAnsi="Times New Roman"/>
          <w:b/>
          <w:i/>
          <w:sz w:val="28"/>
          <w:szCs w:val="28"/>
        </w:rPr>
        <w:fldChar xmlns:w="http://schemas.openxmlformats.org/wordprocessingml/2006/main" w:fldCharType="end"/>
      </w:r>
      <w:r xmlns:w="http://schemas.openxmlformats.org/wordprocessingml/2006/main">
        <w:rPr>
          <w:rFonts w:cs="Times New Roman" w:ascii="Times New Roman" w:hAnsi="Times New Roman"/>
          <w:b/>
          <w:i/>
          <w:sz w:val="28"/>
          <w:szCs w:val="28"/>
        </w:rPr>
        <w:t xml:space="preserve">OF THE EUROPEAN CONVENTION FOR THE PROTECTION OF HUMAN RIGHTS AND FUNDAMENTAL FREEDOMS </w:t>
      </w:r>
      <w:r xmlns:w="http://schemas.openxmlformats.org/wordprocessingml/2006/main">
        <w:rPr>
          <w:rStyle w:val="FootnoteCharacters"/>
          <w:rStyle w:val="FootnoteReference"/>
          <w:rFonts w:eastAsia="Symbol" w:cs="Symbol" w:ascii="Symbol" w:hAnsi="Symbol"/>
          <w:b/>
        </w:rPr>
        <w:footnoteReference xmlns:w="http://schemas.openxmlformats.org/wordprocessingml/2006/main" w:customMarkFollows="1" w:id="2"/>
      </w:r>
      <w:r xmlns:w="http://schemas.openxmlformats.org/wordprocessingml/2006/main">
        <w:rPr>
          <w:rStyle w:val="FootnoteCharacters"/>
          <w:rStyle w:val="FootnoteReference"/>
          <w:rFonts w:eastAsia="Symbol" w:cs="Symbol" w:ascii="Symbol" w:hAnsi="Symbol"/>
          <w:b/>
        </w:rPr>
        <w:t xml:space="preserve"></w:t>
      </w:r>
    </w:p>
    <w:p>
      <w:pPr>
        <w:pStyle w:val="BodyText"/>
        <w:ind w:start="709" w:end="0"/>
        <w:jc w:val="start"/>
        <w:rPr>
          <w:rFonts w:ascii="Times New Roman" w:hAnsi="Times New Roman" w:cs="Times New Roman"/>
          <w:b/>
          <w:i/>
          <w:sz w:val="28"/>
          <w:szCs w:val="28"/>
        </w:rPr>
      </w:pPr>
      <w:r>
        <w:rPr>
          <w:rFonts w:cs="Times New Roman" w:ascii="Times New Roman" w:hAnsi="Times New Roman"/>
          <w:b/>
          <w:i/>
          <w:sz w:val="28"/>
          <w:szCs w:val="28"/>
        </w:rPr>
      </w:r>
    </w:p>
    <w:p>
      <w:pPr xmlns:w="http://schemas.openxmlformats.org/wordprocessingml/2006/main">
        <w:pStyle w:val="BodyText"/>
        <w:ind w:start="709" w:end="0"/>
        <w:jc w:val="start"/>
        <w:rPr>
          <w:rFonts w:ascii="Times New Roman" w:hAnsi="Times New Roman" w:cs="Times New Roman"/>
          <w:i/>
          <w:sz w:val="28"/>
          <w:szCs w:val="28"/>
        </w:rPr>
      </w:pPr>
      <w:r xmlns:w="http://schemas.openxmlformats.org/wordprocessingml/2006/main">
        <w:rPr>
          <w:rFonts w:cs="Times New Roman" w:ascii="Times New Roman" w:hAnsi="Times New Roman"/>
          <w:i/>
          <w:sz w:val="28"/>
          <w:szCs w:val="28"/>
        </w:rPr>
        <w:t xml:space="preserve">Petya Zaharieva </w:t>
      </w:r>
      <w:r xmlns:w="http://schemas.openxmlformats.org/wordprocessingml/2006/main">
        <w:rPr>
          <w:rStyle w:val="FootnoteCharacters"/>
          <w:rStyle w:val="FootnoteReference"/>
          <w:rFonts w:eastAsia="Symbol" w:cs="Symbol" w:ascii="Symbol" w:hAnsi="Symbol"/>
          <w:i/>
          <w:sz w:val="28"/>
          <w:szCs w:val="28"/>
        </w:rPr>
        <w:footnoteReference xmlns:w="http://schemas.openxmlformats.org/wordprocessingml/2006/main" w:customMarkFollows="1" w:id="3"/>
      </w:r>
      <w:r xmlns:w="http://schemas.openxmlformats.org/wordprocessingml/2006/main">
        <w:rPr>
          <w:rStyle w:val="FootnoteCharacters"/>
          <w:rStyle w:val="FootnoteReference"/>
          <w:rFonts w:eastAsia="Symbol" w:cs="Symbol" w:ascii="Symbol" w:hAnsi="Symbol"/>
          <w:i/>
          <w:sz w:val="28"/>
          <w:szCs w:val="28"/>
        </w:rPr>
        <w:t xml:space="preserve"> </w:t>
      </w:r>
      <w:r xmlns:w="http://schemas.openxmlformats.org/wordprocessingml/2006/main">
        <w:rPr>
          <w:rStyle w:val="FootnoteCharacters"/>
          <w:i/>
          <w:sz w:val="28"/>
          <w:szCs w:val="28"/>
        </w:rPr>
        <w:t xml:space="preserve"></w:t>
      </w:r>
    </w:p>
    <w:p>
      <w:pPr>
        <w:pStyle w:val="BodyText"/>
        <w:ind w:start="709" w:end="0"/>
        <w:jc w:val="start"/>
        <w:rPr>
          <w:rFonts w:ascii="Times New Roman" w:hAnsi="Times New Roman" w:cs="Times New Roman"/>
          <w:i/>
          <w:sz w:val="28"/>
          <w:szCs w:val="28"/>
        </w:rPr>
      </w:pPr>
      <w:r>
        <w:rPr>
          <w:rFonts w:cs="Times New Roman" w:ascii="Times New Roman" w:hAnsi="Times New Roman"/>
          <w:i/>
          <w:sz w:val="28"/>
          <w:szCs w:val="28"/>
        </w:rPr>
      </w:r>
    </w:p>
    <w:p>
      <w:pPr xmlns:w="http://schemas.openxmlformats.org/wordprocessingml/2006/main">
        <w:pStyle w:val="BodyText"/>
        <w:ind w:start="709" w:end="0"/>
        <w:jc w:val="start"/>
        <w:rPr>
          <w:rFonts w:ascii="Times New Roman" w:hAnsi="Times New Roman" w:cs="Times New Roman"/>
          <w:i/>
          <w:sz w:val="28"/>
          <w:szCs w:val="28"/>
        </w:rPr>
      </w:pPr>
      <w:r xmlns:w="http://schemas.openxmlformats.org/wordprocessingml/2006/main">
        <w:rPr>
          <w:rFonts w:cs="Times New Roman" w:ascii="Times New Roman" w:hAnsi="Times New Roman"/>
          <w:i/>
          <w:sz w:val="28"/>
          <w:szCs w:val="28"/>
        </w:rPr>
        <w:t xml:space="preserve">July, 2006</w:t>
      </w:r>
    </w:p>
    <w:p>
      <w:pPr>
        <w:pStyle w:val="BodyText"/>
        <w:jc w:val="both"/>
        <w:rPr>
          <w:rFonts w:ascii="Times New Roman" w:hAnsi="Times New Roman" w:cs="Times New Roman"/>
          <w:i/>
          <w:sz w:val="28"/>
          <w:szCs w:val="28"/>
          <w:u w:val="single"/>
        </w:rPr>
      </w:pPr>
      <w:r>
        <w:rPr>
          <w:rFonts w:cs="Times New Roman" w:ascii="Times New Roman" w:hAnsi="Times New Roman"/>
          <w:i/>
          <w:sz w:val="28"/>
          <w:szCs w:val="28"/>
          <w:u w:val="single"/>
        </w:rPr>
      </w:r>
    </w:p>
    <w:p>
      <w:pPr>
        <w:pStyle w:val="BodyText"/>
        <w:jc w:val="both"/>
        <w:rPr>
          <w:rFonts w:ascii="Times New Roman" w:hAnsi="Times New Roman" w:cs="Times New Roman"/>
          <w:u w:val="single"/>
        </w:rPr>
      </w:pPr>
      <w:r>
        <w:rPr>
          <w:rFonts w:cs="Times New Roman" w:ascii="Times New Roman" w:hAnsi="Times New Roman"/>
          <w:u w:val="single"/>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I. INTRODUCTION</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right to life is “inherent to the human person”. It has a fundamental character, since it is a real condition for the normal and full existence of the entire system of human rights and freedoms. Therefore, it is protected by the main international human rights instruments -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9E%D1%80%D0%B3%D0%B0%D0%BD%D0%B8%D0%B7%D0%B0%D1%86%D0%B8%D1%8F%20%D0%BD%D0%B0%20%D0%BE%D0%B1%D0%B5%D0%B4%D0%B8%D0%BD%D0%B5%D0%BD%D0%B8%D1%82%D0%B5%20%D0%BD%D0%B0%D1%86%D0%B8%D0%B8/%D0%92%D1%81%D0%B5%D0%BE%D0%B1%D1%89%D0%B0%20%D0%B4%D0%B5%D0%BA%D0%BB%D0%B0%D1%80%D0%B0%D1%86%D0%B8%D1%8F%20%D0%B7%D0%B0%20%D0%BF%D1%80%D0%B0%D0%B2%D0%B0%D1%82%D0%B0%20%D0%BD%D0%B0%20%D1%87%D0%BE%D0%B2%D0%B5%D0%BA%D0%B0.doc" \l "%D0%B2%D1%81%D0%B5%D0%BE%D0%B1%D1%89%D0%B0%D0%B4%D0%B5%D0%BA%D0%BB3"</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 3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of the Universal Declaration of Human Rights, Art. 6 of the International Covenant on Civil and Political Rights, Art. 4 of the American Declaration of Human Rights.</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right to life is the first right guaranteed by the European Convention for the Protection of Human Rights and Fundamental Freedoms. It is regulated as a relative right – it can be limited, but only in the cases exhaustively listed in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"%D0%B5%D0%BA%D0%BF%D1%87%D0%BE%D1%812"</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 2.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The right to life represents, together with the right under Art. 3, one of the fundamental values of democratic societies in the Council of Europe, therefore the circumstances allowing the deprivation of life should be interpreted restrictively, with extremely strict observance of the principles of legality and proportionality. With the entry into force of Protocol No. 6 and Protocol No. 13, the death penalty was abolished in peacetime, in time of war or imminent threat of war.</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The right to life is an inalienable right – its derogation is permissible only in relation to “death resulting from lawful acts of war” /Art. 15, para. 2/ and this distinguishes it from the guarantees of Art. 3, Art. 4, para. 1 and Art. 7, which cannot be derogated from at all.</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The effective exercise of the right implies not only refraining from causing death, but also positive measures contributing to the preservation of life, as well as mandatory investigation of suspicious deaths.</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For the practice of Bulgarian magistrates, it is of particular importance to clarify the procedural guarantees for the protection of the right to life, requiring the conduct of an effective investigation to identify and punish the individuals, given the weaknesses of the Bulgarian justice system consistently established by the European Court of Human Rights in cases against Bulgaria.</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II. RIGHT TO LIFE – GENERAL PROVISIONS</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Article 2, para. 1: “Everyone’s right to life shall be protected by law . . .”.</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The European Convention defines the holders of the right to life with the term "everyone", which, compared to the regulation in other international legal acts, is not sufficiently clear and raises the question of the starting and ending point of the existence of the right.</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1. Right to life of the unborn child:</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Neither the European Commission of Human Rights nor the European Court of Human Rights have given a definitive answer on the applicability of Article 2 to the unborn child.</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European Commission of Human Rights examined in detail the case of X. v. the United Kingdom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4"/>
      </w:r>
      <w:r xmlns:w="http://schemas.openxmlformats.org/wordprocessingml/2006/main">
        <w:rPr>
          <w:rFonts w:cs="Times New Roman" w:ascii="Times New Roman" w:hAnsi="Times New Roman"/>
        </w:rPr>
        <w:t xml:space="preserve">, concerning an abortion performed by the applicant's wife despite his opposition. Having clarified that in the specific case a therapeutic abortion was performed, permitted by the current British legislation and before the tenth week of pregnancy, the Commission accepted that Article 2 had not been violated. Having ruled out the hypothesis that Article 2 recognised an absolute right to life of the unborn child, the Commission did not rule on the other two possible hypotheses - Article 2 did not concern the foetus at all or Article 2 recognised an implicit right to life of the conceived child. According to the Commission, the use of the term “everyone” in other texts of the Convention /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"%D0%B5%D0%BA%D0%BF%D1%87%D0%BE%D1%811"</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 1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"%D0%B5%D0%BA%D0%BF%D1%87%D0%BE%D1%815"</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 5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"%D0%B5%D0%BA%D0%BF%D1%87%D0%BE%D1%816"</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 6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"%D0%B5%D0%BA%D0%BF%D1%87%D0%BE%D1%818"</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 8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"%D0%B5%D0%BA%D0%BF%D1%87%D0%BE%D1%8111"</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 11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"%D0%B5%D0%BA%D0%BF%D1%87%D0%BE%D1%8113"</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 13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 and the limitations of the right to life under Art. 2 show that it applies only to persons already born. However, the Commission does not completely deny the possibility that it can be applied before the moment of birth – in Art. 6, para. 1, taking into account the undoubtedly regulated in European legislation possibility for a conceived but not yet born child to inherit. Another argument for the Commission's decision is the lack in the European Convention of an explicit provision recognizing the right to life of the fetus, such as the American Convention has. Finally, the Commission points out that recognizing an absolute right to life of the fetus would mean limiting the right under Art. 2, para. 1 with another exception - and that implicitly, and subordinating the life of the mother to that of the child, which clearly contradicts the task of the Convention. Moreover, at the time of its signing in 1950, most of the parties to it permitted abortion when it was necessary to preserve the mother's life, and the objective trend was towards liberalizing this legislation.</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Taking into account the lack of a single European understanding on the issue of the admissibility of abortion, the Commission recognises that States have a wide margin of appreciation regarding the legislative regulation of the matter in the application N. v. Norway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5"/>
      </w:r>
      <w:r xmlns:w="http://schemas.openxmlformats.org/wordprocessingml/2006/main">
        <w:rPr>
          <w:rFonts w:cs="Times New Roman" w:ascii="Times New Roman" w:hAnsi="Times New Roman"/>
        </w:rPr>
        <w:t xml:space="preserve">. In this regard, it does not exclude the possibility that the right to life may be applied to the foetus.</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Court reasoned in the same way in the first judgment on the merits of an application for a violation of the right to life of a mother and her unborn child as a result of a therapeutic abortion performed due to medical negligence, delivered in the case of </w:t>
      </w:r>
      <w:hyperlink xmlns:w="http://schemas.openxmlformats.org/wordprocessingml/2006/main" xmlns:r="http://schemas.openxmlformats.org/officeDocument/2006/relationships" r:id="rId2">
        <w:r xmlns:w="http://schemas.openxmlformats.org/wordprocessingml/2006/main">
          <w:rPr>
            <w:rStyle w:val="Hyperlink"/>
            <w:rFonts w:cs="Times New Roman" w:ascii="Times New Roman" w:hAnsi="Times New Roman"/>
          </w:rPr>
          <w:t xml:space="preserve">Vaud v. France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6"/>
      </w:r>
      <w:r xmlns:w="http://schemas.openxmlformats.org/wordprocessingml/2006/main">
        <w:rPr>
          <w:rFonts w:cs="Times New Roman" w:ascii="Times New Roman" w:hAnsi="Times New Roman"/>
        </w:rPr>
        <w:t xml:space="preserve">. The Court did not expressly state whether the unborn child was protected by Article 2. It accepted that States were free to determine in their domestic legislation when the right to life began and assessed the possibility of compensation for the damage suffered by way of an appeal to the administrative court, regulated in French law, as sufficient positive action on the part of the State for the effective protection of the right to life.</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2. Euthanasia:</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In contrast to the issue of the origin of the right to life, the Court took a firm position on the possible existence of a right to die and its relationship to the right to life in the case of Pretti v. the United Kingdom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7"/>
      </w:r>
      <w:r xmlns:w="http://schemas.openxmlformats.org/wordprocessingml/2006/main">
        <w:rPr>
          <w:rFonts w:cs="Times New Roman" w:ascii="Times New Roman" w:hAnsi="Times New Roman"/>
        </w:rPr>
        <w:t xml:space="preserve">. The applicant in that case, suffering from a terminal neuromotor disease, was prevented by British law from obtaining the assistance of her husband to end her life. The Court categorically rejected the argument that a right to die derives from Article 2. The wording of the right shows, in the Court’s view, that it does not concern the quality of life or what a person chooses to do with his or her life and does not contain a negative aspect – a right to die, such as that contained in, for example, the freedom of assembly and association under Article 11. The Court therefore held that the United Kingdom had not violated Article 2 by virtue of the legislative prohibition of euthanasia.</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3. Content of the concept of “human life”:</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content of the right to life under Art. 2 is considered only in the physical sense, in the usual sense of the term. It does not include the right to a certain standard of living, to certain conditions of life or to the full development of the human personality. In support of this understanding, the Commission rejects the possibility that a law on homosexuality could fall under the ambit of Art. 2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8"/>
      </w:r>
      <w:r xmlns:w="http://schemas.openxmlformats.org/wordprocessingml/2006/main">
        <w:rPr>
          <w:rFonts w:cs="Times New Roman" w:ascii="Times New Roman" w:hAnsi="Times New Roman"/>
        </w:rPr>
        <w:t xml:space="preserve">.</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In view of the content of the right to life, the question arises whether Article 2 provides protection only against death or also against any interference with the physical integrity of the human organism that threatens life. In the case of X. v. Austria,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9"/>
      </w:r>
      <w:r xmlns:w="http://schemas.openxmlformats.org/wordprocessingml/2006/main">
        <w:rPr>
          <w:rFonts w:cs="Times New Roman" w:ascii="Times New Roman" w:hAnsi="Times New Roman"/>
        </w:rPr>
        <w:t xml:space="preserve">the Commission did not exclude the possibility that Article 2, paragraph 1 could also be applied to interference with the integrity of the human organism. In its reasoning, the Commission stressed that Article 2, paragraph 1 provides protection against the causing of death and, assuming for a moment that the physical integrity of the organism could be considered protected by this text, it found, on the other hand, that such a simple intervention as a blood test was not prohibited by Article 2.</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Court, in the case of </w:t>
      </w:r>
      <w:hyperlink xmlns:w="http://schemas.openxmlformats.org/wordprocessingml/2006/main" xmlns:r="http://schemas.openxmlformats.org/officeDocument/2006/relationships" r:id="rId3">
        <w:r xmlns:w="http://schemas.openxmlformats.org/wordprocessingml/2006/main">
          <w:rPr>
            <w:rStyle w:val="Hyperlink"/>
            <w:rFonts w:cs="Times New Roman" w:ascii="Times New Roman" w:hAnsi="Times New Roman"/>
          </w:rPr>
          <w:t xml:space="preserve">Makaratsis v. Greece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0"/>
      </w:r>
      <w:r xmlns:w="http://schemas.openxmlformats.org/wordprocessingml/2006/main">
        <w:rPr>
          <w:rFonts w:cs="Times New Roman" w:ascii="Times New Roman" w:hAnsi="Times New Roman"/>
        </w:rPr>
        <w:t xml:space="preserve">, emphasised that physical ill-treatment which did not result in death could only in exceptional circumstances engage the State's responsibility under Article 2. Considering in this case that the applicant had received multiple gunshot wounds as a result of the use of force during a disorganized police operation to detain him, which could have resulted in his death, the Court found that the provision of Article 2 was applicable.</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II. OBLIGATIONS OF THE STATE TO PROTECT THE RIGHT TO LIFE</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According to Art. 2, para. 1, clause 1, the state is obliged to protect “everyone’s right to life” by law.</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1. Positive obligations:</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positive obligation does not mean an obligation to prevent all violence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1"/>
      </w:r>
      <w:r xmlns:w="http://schemas.openxmlformats.org/wordprocessingml/2006/main">
        <w:rPr>
          <w:rFonts w:cs="Times New Roman" w:ascii="Times New Roman" w:hAnsi="Times New Roman"/>
        </w:rPr>
        <w:t xml:space="preserve">. The State's obligation under Article 2 is an obligation of action, not of result. This principle was established in the landmark case of Ireland v. Great Britain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2"/>
      </w:r>
      <w:r xmlns:w="http://schemas.openxmlformats.org/wordprocessingml/2006/main">
        <w:rPr>
          <w:rFonts w:cs="Times New Roman" w:ascii="Times New Roman" w:hAnsi="Times New Roman"/>
        </w:rPr>
        <w:t xml:space="preserve">- it precludes the existence of an obligation on the State to provide, at least not for an unlimited period of time, permanent personal protection for citizens in a situation of terrorist threat.</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positive obligations of the state apply to all areas of activity in which the right to life may be threatened. The case of </w:t>
      </w:r>
      <w:hyperlink xmlns:w="http://schemas.openxmlformats.org/wordprocessingml/2006/main" xmlns:r="http://schemas.openxmlformats.org/officeDocument/2006/relationships" r:id="rId4">
        <w:r xmlns:w="http://schemas.openxmlformats.org/wordprocessingml/2006/main">
          <w:rPr>
            <w:rStyle w:val="Hyperlink"/>
            <w:rFonts w:cs="Times New Roman" w:ascii="Times New Roman" w:hAnsi="Times New Roman"/>
          </w:rPr>
          <w:t xml:space="preserve">Öneriyeldız v. Turkey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3"/>
      </w:r>
      <w:r xmlns:w="http://schemas.openxmlformats.org/wordprocessingml/2006/main">
        <w:rPr>
          <w:rFonts w:cs="Times New Roman" w:ascii="Times New Roman" w:hAnsi="Times New Roman"/>
        </w:rPr>
        <w:t xml:space="preserve">concerns an explosion at a landfill, near which a shantytown had existed for years. The explosion triggered a landslide, which led to the destruction of the settlement and numerous casualties. The Court found a violation by the state, which had been informed by a special report about the risk of the operation of the landfill and had been able to take a number of inexpensive measures to prevent the incident, including warning the victims.</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In the case of </w:t>
      </w:r>
      <w:hyperlink xmlns:w="http://schemas.openxmlformats.org/wordprocessingml/2006/main" xmlns:r="http://schemas.openxmlformats.org/officeDocument/2006/relationships" r:id="rId5">
        <w:r xmlns:w="http://schemas.openxmlformats.org/wordprocessingml/2006/main">
          <w:rPr>
            <w:rStyle w:val="Hyperlink"/>
            <w:rFonts w:cs="Times New Roman" w:ascii="Times New Roman" w:hAnsi="Times New Roman"/>
          </w:rPr>
          <w:t xml:space="preserve">Osman v. the United Kingdom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4"/>
      </w:r>
      <w:r xmlns:w="http://schemas.openxmlformats.org/wordprocessingml/2006/main">
        <w:rPr>
          <w:rFonts w:cs="Times New Roman" w:ascii="Times New Roman" w:hAnsi="Times New Roman"/>
        </w:rPr>
        <w:t xml:space="preserve">, the Court extended the scope of the positive obligations under Article 2 to include attacks on life committed not by agents of the State but by third parties. In such a situation, the State is responsible if its authorities have failed to do everything that could reasonably be expected of them to avoid a real and imminent danger to life, of which they knew or ought to have known at the decisive moment. In the present case, there has been no violation of Article 2, since the police were not informed at any decisive stage of the events leading up to the fatal shots.</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2. Procedural aspects of the obligation:</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Compliance with the State's positive obligations under Article 2 of the Convention requires the national legal system to be able to demonstrate the application of the criminal law to those who unlawfully deprive someone of life, regardless of the racial or ethnic origin of the victim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5"/>
      </w:r>
      <w:r xmlns:w="http://schemas.openxmlformats.org/wordprocessingml/2006/main">
        <w:rPr>
          <w:rFonts w:cs="Times New Roman" w:ascii="Times New Roman" w:hAnsi="Times New Roman"/>
        </w:rPr>
        <w:t xml:space="preserve">.</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requirement for an effective investigation applies not only where the death is caused by a State official, but in all cases of taking of life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6"/>
      </w:r>
      <w:r xmlns:w="http://schemas.openxmlformats.org/wordprocessingml/2006/main">
        <w:rPr>
          <w:rFonts w:cs="Times New Roman" w:ascii="Times New Roman" w:hAnsi="Times New Roman"/>
        </w:rPr>
        <w:t xml:space="preserve">. Due to the lack of an effective investigation into the events in which the applicant’s son disappeared, the State’s responsibility under Article 2 is also engaged, even though the death itself cannot be attributed to it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7"/>
      </w:r>
      <w:r xmlns:w="http://schemas.openxmlformats.org/wordprocessingml/2006/main">
        <w:rPr>
          <w:rFonts w:cs="Times New Roman" w:ascii="Times New Roman" w:hAnsi="Times New Roman"/>
        </w:rPr>
        <w:t xml:space="preserve">.</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State is obliged to provide for legal procedures for the conduct of an effective official investigation and to apply them in all cases. In the case of Finucane v. the United Kingdom,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8"/>
      </w:r>
      <w:r xmlns:w="http://schemas.openxmlformats.org/wordprocessingml/2006/main">
        <w:rPr>
          <w:rFonts w:cs="Times New Roman" w:ascii="Times New Roman" w:hAnsi="Times New Roman"/>
        </w:rPr>
        <w:t xml:space="preserve">the Court accepted that, in order for an investigation into unlawful deprivation of life by public officials to be effective, it is in principle necessary that those conducting and responsible for the investigation are independent of those involved in the events under investigation. Effective investigation implies not only the absence of a hierarchical or institutional link, but also the practical independence of investigators. State and law enforcement authorities must ensure that superior officials are held accountable if they knew or should have known that law enforcement authorities under their jurisdiction were resorting to or had resorted to the unlawful use of force and firearms and failed to take all necessary measures within their powers to prevent, stop or report such use.</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An effective investigation is one that is capable of leading to the identification and punishment of those responsible. A normal and adversarial criminal trial before an independent and impartial court should be considered to provide the most solid guarantees for an efficient procedure for the discovery of facts and the imposition of responsibility.</w:t>
      </w:r>
      <w:r xmlns:w="http://schemas.openxmlformats.org/wordprocessingml/2006/main">
        <w:rPr>
          <w:rFonts w:cs="Times New Roman" w:ascii="Times New Roman" w:hAnsi="Times New Roman"/>
          <w:spacing w:val="-3"/>
        </w:rPr>
        <w:t xml:space="preserve"> </w:t>
      </w:r>
    </w:p>
    <w:p>
      <w:pPr xmlns:w="http://schemas.openxmlformats.org/wordprocessingml/2006/main">
        <w:pStyle w:val="BodyText"/>
        <w:ind w:firstLine="851" w:end="0"/>
        <w:jc w:val="both"/>
        <w:rPr>
          <w:rFonts w:ascii="Times New Roman" w:hAnsi="Times New Roman" w:cs="Times New Roman"/>
          <w:spacing w:val="-3"/>
        </w:rPr>
      </w:pPr>
      <w:r xmlns:w="http://schemas.openxmlformats.org/wordprocessingml/2006/main">
        <w:rPr>
          <w:rFonts w:cs="Times New Roman" w:ascii="Times New Roman" w:hAnsi="Times New Roman"/>
        </w:rPr>
        <w:t xml:space="preserve">The investigation should be objective and impartial, but also comprehensive, i.e. it should cover all relevant facts. Any deficiency in the investigation that undermines its ability to establish the causes of death or the person responsible risks making it fall short of this standard.</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An effective investigation requires the preparation of a written report within a reasonable time. The report should be made public promptly and should include the scope of the investigation, the procedures, the methods used to evaluate the evidence, and the conclusions and recommendations based on the factual findings and the applicable law.</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requirement for a “comprehensive, impartial and independent investigation” has also been examined by the Court in the Bulgarian cases of </w:t>
      </w:r>
      <w:hyperlink xmlns:w="http://schemas.openxmlformats.org/wordprocessingml/2006/main" xmlns:r="http://schemas.openxmlformats.org/officeDocument/2006/relationships" r:id="rId6">
        <w:r xmlns:w="http://schemas.openxmlformats.org/wordprocessingml/2006/main">
          <w:rPr>
            <w:rStyle w:val="Hyperlink"/>
            <w:rFonts w:cs="Times New Roman" w:ascii="Times New Roman" w:hAnsi="Times New Roman"/>
          </w:rPr>
          <w:t xml:space="preserve">Velikova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19"/>
      </w:r>
      <w:r xmlns:w="http://schemas.openxmlformats.org/wordprocessingml/2006/main">
        <w:rPr>
          <w:rFonts w:cs="Times New Roman" w:ascii="Times New Roman" w:hAnsi="Times New Roman"/>
        </w:rPr>
        <w:t xml:space="preserve">, </w:t>
      </w:r>
      <w:hyperlink xmlns:w="http://schemas.openxmlformats.org/wordprocessingml/2006/main" xmlns:r="http://schemas.openxmlformats.org/officeDocument/2006/relationships" r:id="rId7">
        <w:r xmlns:w="http://schemas.openxmlformats.org/wordprocessingml/2006/main">
          <w:rPr>
            <w:rStyle w:val="Hyperlink"/>
            <w:rFonts w:cs="Times New Roman" w:ascii="Times New Roman" w:hAnsi="Times New Roman"/>
          </w:rPr>
          <w:t xml:space="preserve">Angelova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0"/>
      </w:r>
      <w:r xmlns:w="http://schemas.openxmlformats.org/wordprocessingml/2006/main">
        <w:rPr>
          <w:rFonts w:cs="Times New Roman" w:ascii="Times New Roman" w:hAnsi="Times New Roman"/>
        </w:rPr>
        <w:t xml:space="preserve">, </w:t>
      </w:r>
      <w:hyperlink xmlns:w="http://schemas.openxmlformats.org/wordprocessingml/2006/main" xmlns:r="http://schemas.openxmlformats.org/officeDocument/2006/relationships" r:id="rId8">
        <w:r xmlns:w="http://schemas.openxmlformats.org/wordprocessingml/2006/main">
          <w:rPr>
            <w:rStyle w:val="Hyperlink"/>
            <w:rFonts w:cs="Times New Roman" w:ascii="Times New Roman" w:hAnsi="Times New Roman"/>
          </w:rPr>
          <w:t xml:space="preserve">Nachova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1"/>
      </w:r>
      <w:r xmlns:w="http://schemas.openxmlformats.org/wordprocessingml/2006/main">
        <w:rPr>
          <w:rFonts w:cs="Times New Roman" w:ascii="Times New Roman" w:hAnsi="Times New Roman"/>
        </w:rPr>
        <w:t xml:space="preserve">Ognyanova and Choban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2"/>
      </w:r>
      <w:r xmlns:w="http://schemas.openxmlformats.org/wordprocessingml/2006/main">
        <w:rPr>
          <w:rFonts w:cs="Times New Roman" w:ascii="Times New Roman" w:hAnsi="Times New Roman"/>
        </w:rPr>
        <w:t xml:space="preserve">. In all of them, the Court has consistently found numerous and diverse weaknesses in the investigation – failure to clarify contradictory testimonies, lack of questioning of specific witnesses, lack of necessary forensic expertise, prolonged inaction.</w:t>
      </w:r>
    </w:p>
    <w:p>
      <w:pPr xmlns:w="http://schemas.openxmlformats.org/wordprocessingml/2006/main">
        <w:pStyle w:val="BodyText"/>
        <w:ind w:firstLine="851" w:end="0"/>
        <w:jc w:val="both"/>
        <w:rPr/>
      </w:pPr>
      <w:hyperlink xmlns:w="http://schemas.openxmlformats.org/wordprocessingml/2006/main" xmlns:r="http://schemas.openxmlformats.org/officeDocument/2006/relationships" r:id="rId9">
        <w:r xmlns:w="http://schemas.openxmlformats.org/wordprocessingml/2006/main">
          <w:rPr>
            <w:rStyle w:val="Hyperlink"/>
            <w:rFonts w:cs="Times New Roman" w:ascii="Times New Roman" w:hAnsi="Times New Roman"/>
          </w:rPr>
          <w:t xml:space="preserve">Angelova and Ognyanova and Choban </w:t>
        </w:r>
      </w:hyperlink>
      <w:r xmlns:w="http://schemas.openxmlformats.org/wordprocessingml/2006/main">
        <w:rPr>
          <w:rFonts w:cs="Times New Roman" w:ascii="Times New Roman" w:hAnsi="Times New Roman"/>
        </w:rPr>
        <w:t xml:space="preserve">cases </w:t>
      </w:r>
      <w:r xmlns:w="http://schemas.openxmlformats.org/wordprocessingml/2006/main">
        <w:rPr>
          <w:rFonts w:cs="Times New Roman" w:ascii="Times New Roman" w:hAnsi="Times New Roman"/>
        </w:rPr>
        <w:t xml:space="preserve">explicitly emphasize an additional requirement for the effectiveness of the investigation – the need for public oversight of the investigation or its results. The purpose of this requirement is to maintain public confidence that the authorities are adhering to the rule of law and to prevent the creation of an impression of collusion or tolerance of illegal actions. The level of public oversight may vary from case to case. In all cases, however, those closest to the victim should participate in the proceedings in a manner that ensures the protection of their legitimate interests.</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A particularly significant development in the Court’s case-law was the Nachova case, concerning the investigation of discriminatory killings. In it, the Court noted that the right to life under Article 2 of the Convention and the prohibition of discrimination in general and, in particular, racial and ethnic discrimination under Article 14, reflect fundamental values of democratic societies in the Council of Europe. Therefore, where there are doubts that an act of violence was motivated by racist attitudes, it is of particular importance that the official investigation be carried out vigorously and impartially, given the need to constantly uphold public intolerance of racism and ethnic hatred and to maintain the confidence of minorities in the ability of the authorities to protect them from the threat of racist violence. The Court held that “treating racially motivated violence and brutality on an equal footing with cases in which there is no racist motive is to turn a blind eye to the specific nature of acts with a particularly destructive effect on fundamental human rights.” The Court held that “any evidence of the use of racist language by law enforcement authorities during an operation involving the use of force against persons belonging to an ethnic or other minority group is highly relevant to the question of whether there was unlawful, hate-motivated violence. Where such evidence is discovered in the course of the investigation, it must be verified and, if confirmed, must prompt a careful examination of all the facts with a view to uncovering any possible racist motives. This was not done in the present case.” On the basis of the foregoing, the Court held that the authorities had failed to fulfil their obligation under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"%D0%B5%D0%BA%D0%BF%D1%87%D0%BE%D1%8114"</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 14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of the Convention, read in conjunction with Article 2, to take all possible steps to establish whether discriminatory attitudes might have been involved in the events.</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In examining the negative aspect of the obligations, the European Court of Human Rights has so far proceeded from the standard of “proof beyond reasonable doubt” (Court v. Turkey </w:t>
      </w:r>
      <w:r xmlns:w="http://schemas.openxmlformats.org/wordprocessingml/2006/main">
        <w:rPr>
          <w:rStyle w:val="FootnoteCharacters"/>
          <w:rStyle w:val="FootnoteReference"/>
          <w:rFonts w:cs="Times New Roman" w:ascii="Times New Roman" w:hAnsi="Times New Roman"/>
          <w:u w:val="single"/>
        </w:rPr>
        <w:footnoteReference xmlns:w="http://schemas.openxmlformats.org/wordprocessingml/2006/main" w:id="23"/>
      </w:r>
      <w:r xmlns:w="http://schemas.openxmlformats.org/wordprocessingml/2006/main">
        <w:rPr>
          <w:rFonts w:cs="Times New Roman" w:ascii="Times New Roman" w:hAnsi="Times New Roman"/>
        </w:rPr>
        <w:t xml:space="preserve">). As early as </w:t>
      </w:r>
      <w:hyperlink xmlns:w="http://schemas.openxmlformats.org/wordprocessingml/2006/main" xmlns:r="http://schemas.openxmlformats.org/officeDocument/2006/relationships" r:id="rId10">
        <w:r xmlns:w="http://schemas.openxmlformats.org/wordprocessingml/2006/main">
          <w:rPr>
            <w:rStyle w:val="Hyperlink"/>
            <w:rFonts w:cs="Times New Roman" w:ascii="Times New Roman" w:hAnsi="Times New Roman"/>
          </w:rPr>
          <w:t xml:space="preserve">Ireland v. the United Kingdom </w:t>
        </w:r>
      </w:hyperlink>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4"/>
      </w:r>
      <w:r xmlns:w="http://schemas.openxmlformats.org/wordprocessingml/2006/main">
        <w:rPr>
          <w:rFonts w:cs="Times New Roman" w:ascii="Times New Roman" w:hAnsi="Times New Roman"/>
        </w:rPr>
        <w:t xml:space="preserve">, the Court clarified that such proof may be the result of a set of indications and irrebuttable presumptions, sufficiently serious, clear and consistent. Where it is clear from the circumstances of the case that the facts are known in whole or in large part only to the State, it must provide convincing and sufficient explanations (McCann </w:t>
      </w:r>
      <w:r xmlns:w="http://schemas.openxmlformats.org/wordprocessingml/2006/main">
        <w:rPr>
          <w:rStyle w:val="FootnoteCharacters"/>
          <w:rStyle w:val="FootnoteReference"/>
          <w:rFonts w:cs="Times New Roman" w:ascii="Times New Roman" w:hAnsi="Times New Roman"/>
          <w:lang w:val="en-US"/>
        </w:rPr>
        <w:footnoteReference xmlns:w="http://schemas.openxmlformats.org/wordprocessingml/2006/main" w:id="25"/>
      </w:r>
      <w:r xmlns:w="http://schemas.openxmlformats.org/wordprocessingml/2006/main">
        <w:rPr>
          <w:rFonts w:cs="Times New Roman" w:ascii="Times New Roman" w:hAnsi="Times New Roman"/>
        </w:rPr>
        <w:t xml:space="preserve">).</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The lack of such convincing and sufficient explanations has engaged Bulgaria's responsibility under Article 2 in the cases of Velikova, Angelova, Nachova, Ognyanova and Choban.</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IV. RESTRICTIONS ON THE RIGHT TO LIFE</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Article 2: “1.. . . . No one shall be arbitrarily deprived of his life except in execution of a court judgment for a crime for which such punishment is provided by law.</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ab xmlns:w="http://schemas.openxmlformats.org/wordprocessingml/2006/main"/>
      </w:r>
      <w:r xmlns:w="http://schemas.openxmlformats.org/wordprocessingml/2006/main">
        <w:rPr>
          <w:rFonts w:cs="Times New Roman" w:ascii="Times New Roman" w:hAnsi="Times New Roman"/>
        </w:rPr>
        <w:t xml:space="preserve">2. Deprivation of life shall not be considered contrary to the provisions of this article when it results from the use of force recognized as absolutely necessary:</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 in the protection of any person from unlawful violence;</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b./ when making a lawful arrest or preventing the escape of a person lawfully deprived of liberty;</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c./ in actions taken in accordance with the law to suppress a riot or insurrection.”</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1. Art. 2, para. 1, sentence 2:</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The legality of the death penalty imposed implies compliance with the principle of the legality of crimes and punishments. It is enshrined in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"%D0%B5%D0%BA%D0%BF%D1%87%D0%BE%D1%817"</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 7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of the Convention. Its content is reduced to the regulation of crimes and punishments for them in a law, understood in a broad sense. The principle of legality excludes criminal prosecution if the incrimination of the act has been abolished and the actions were committed after this abolition. The execution of the death penalty on the basis of a sentence passed before the abolition of the death penalty is also inadmissible.</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Another fundamental principle is proportionality between the crime and the punishment.</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An essential guarantee of this text is the requirement that the death sentence must be imposed by a court – this is explicitly emphasised in the original text. The concept of “court” has an autonomous meaning in the interpretation of the Convention. It is clarified mainly in relation to Art. 6, as a body which is independent in relation to the parties to the dispute, as well as in relation to the executive and which provides a guarantee of impartiality, accessibility and adequacy of judicial procedures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6"/>
      </w:r>
      <w:r xmlns:w="http://schemas.openxmlformats.org/wordprocessingml/2006/main">
        <w:rPr>
          <w:rFonts w:cs="Times New Roman" w:ascii="Times New Roman" w:hAnsi="Times New Roman"/>
        </w:rPr>
        <w:t xml:space="preserve">. It is possible for an institution which is not defined as a court by domestic law to be recognised as such within the meaning of the Convention and vice versa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7"/>
      </w:r>
      <w:r xmlns:w="http://schemas.openxmlformats.org/wordprocessingml/2006/main">
        <w:rPr>
          <w:rFonts w:cs="Times New Roman" w:ascii="Times New Roman" w:hAnsi="Times New Roman"/>
        </w:rPr>
        <w:t xml:space="preserve">.</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2. Article 2, paragraph 2:</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In all three cases of use of force not contrary to Article 2 resulting in death, strict compliance with the principle of proportionality is required. The criteria for assessment are: the nature of the legitimate result sought, the nature of the danger to human life in the specific situation and the degree of risk resulting from the use of force. The deprivation of life resulting from the use of force must be absolutely necessary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8"/>
      </w:r>
      <w:r xmlns:w="http://schemas.openxmlformats.org/wordprocessingml/2006/main">
        <w:rPr>
          <w:rFonts w:cs="Times New Roman" w:ascii="Times New Roman" w:hAnsi="Times New Roman"/>
        </w:rPr>
        <w:t xml:space="preserve">. The proportionality test is therefore much stricter than the usual test for assessing whether the State’s actions were “necessary in a democratic society” – applicable under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"%D0%B5%D0%BA%D0%BF%D1%87%D0%BE%D1%818"</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Style w:val="Hyperlink"/>
          <w:rFonts w:cs="Times New Roman" w:ascii="Times New Roman" w:hAnsi="Times New Roman"/>
        </w:rPr>
        <w:t xml:space="preserve">Articles 8-11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of the Convention.</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In the case of Nachova v. Bulgaria, the Court found that the use of force that led to the deaths of two Roma men serving in the military service, as a result of the use of firearms by military police officers in an attempt to detain them after an escape from prison, was disproportionate. The Court noted that, according to the evidence in the case, the arresting officers were clearly aware that the victims were not armed or dangerous. None of the information available to the police officers could have caused them to have a well-founded fear of violence from the victims. However, they ignored these circumstances and, in an attempt to prevent their escape, shot and fatally wounded them. The Court considered that, in light of the imperative need to preserve life as a fundamental value, the legitimate aim pursued - arrest - could not justify putting human life at risk when the fugitive posed no threat to anyone and had committed an offence not involving violence. Any other approach would be incompatible with the generally accepted fundamental principles of democratic societies today. A violation of the principle of proportionality was also found due to the lack of sufficient regulation of the cases of permissible use of firearms, including a requirement for an assessment of the nature of the crime committed and the real threat.</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In the case of </w:t>
      </w:r>
      <w:hyperlink xmlns:w="http://schemas.openxmlformats.org/wordprocessingml/2006/main" xmlns:r="http://schemas.openxmlformats.org/officeDocument/2006/relationships" r:id="rId11">
        <w:r xmlns:w="http://schemas.openxmlformats.org/wordprocessingml/2006/main">
          <w:rPr>
            <w:rStyle w:val="Hyperlink"/>
            <w:rFonts w:cs="Times New Roman" w:ascii="Times New Roman" w:hAnsi="Times New Roman"/>
          </w:rPr>
          <w:t xml:space="preserve">McCann v. the United Kingdom, </w:t>
        </w:r>
      </w:hyperlink>
      <w:r xmlns:w="http://schemas.openxmlformats.org/wordprocessingml/2006/main">
        <w:rPr>
          <w:rFonts w:cs="Times New Roman" w:ascii="Times New Roman" w:hAnsi="Times New Roman"/>
        </w:rPr>
        <w:t xml:space="preserve">the Court held that, despite the sincere conviction of the soldiers which led to the use of force, it was not objectively absolutely necessary. The case concerned the killing of three suspected IRA terrorists in a joint operation by the British, Spanish and Gibraltarian authorities in Gibraltar. The Court criticised the authorities’ approach to the operation, noting that they had not sufficiently considered the information available to them and had assumed that the attack would be carried out in a certain way, had failed to take into account the possibility of error, had contributed to the increase in risk by allowing the suspects into Gibraltar instead of detaining them beforehand, had they followed military instructions which made the use of force almost inevitable, and had not taken into account the specifics of their training. The Court held that the lack of due care in the control and organisation of the detention operation led to a breach of the principle of proportionality.</w:t>
      </w:r>
    </w:p>
    <w:p>
      <w:pPr xmlns:w="http://schemas.openxmlformats.org/wordprocessingml/2006/main">
        <w:pStyle w:val="BodyText"/>
        <w:ind w:firstLine="851" w:end="0"/>
        <w:jc w:val="both"/>
        <w:rPr/>
      </w:pPr>
      <w:r xmlns:w="http://schemas.openxmlformats.org/wordprocessingml/2006/main">
        <w:rPr>
          <w:rFonts w:cs="Times New Roman" w:ascii="Times New Roman" w:hAnsi="Times New Roman"/>
        </w:rPr>
        <w:t xml:space="preserve">In the McCann case, the Court stated categorically that Article 2 § 2 applies to all forms of culpability in the deprivation of life, not only to intentional acts, regardless of the wording of the provision itself - the question is not whether there was an intention to take life, but whether the force used was proportionate. In the Ipek v. Turkey case, the State's responsibility under </w:t>
      </w:r>
      <w:r xmlns:w="http://schemas.openxmlformats.org/wordprocessingml/2006/main">
        <w:rPr>
          <w:rStyle w:val="FootnoteCharacters"/>
          <w:rStyle w:val="FootnoteReference"/>
          <w:rFonts w:cs="Times New Roman" w:ascii="Times New Roman" w:hAnsi="Times New Roman"/>
        </w:rPr>
        <w:footnoteReference xmlns:w="http://schemas.openxmlformats.org/wordprocessingml/2006/main" w:id="29"/>
      </w:r>
      <w:r xmlns:w="http://schemas.openxmlformats.org/wordprocessingml/2006/main">
        <w:rPr>
          <w:rStyle w:val="Hyperlink"/>
          <w:rFonts w:cs="Times New Roman" w:ascii="Times New Roman" w:hAnsi="Times New Roman"/>
        </w:rPr>
        <w:t xml:space="preserve">Article 2 </w:t>
      </w:r>
      <w:r xmlns:w="http://schemas.openxmlformats.org/wordprocessingml/2006/main">
        <w:rPr>
          <w:rStyle w:val="Hyperlink"/>
          <w:rFonts w:cs="Times New Roman" w:ascii="Times New Roman" w:hAnsi="Times New Roman"/>
        </w:rPr>
        <w:fldChar xmlns:w="http://schemas.openxmlformats.org/wordprocessingml/2006/main" w:fldCharType="end"/>
      </w:r>
      <w:r xmlns:w="http://schemas.openxmlformats.org/wordprocessingml/2006/main">
        <w:rPr>
          <w:rFonts w:cs="Times New Roman" w:ascii="Times New Roman" w:hAnsi="Times New Roman"/>
        </w:rPr>
        <w:t xml:space="preserve">was engaged </w:t>
      </w:r>
      <w:r xmlns:w="http://schemas.openxmlformats.org/wordprocessingml/2006/main">
        <w:fldChar xmlns:w="http://schemas.openxmlformats.org/wordprocessingml/2006/main" w:fldCharType="begin"/>
      </w:r>
      <w:r xmlns:w="http://schemas.openxmlformats.org/wordprocessingml/2006/main">
        <w:rPr>
          <w:rStyle w:val="Hyperlink"/>
          <w:rFonts w:cs="Times New Roman" w:ascii="Times New Roman" w:hAnsi="Times New Roman"/>
        </w:rPr>
        <w:instrText xmlns:w="http://schemas.openxmlformats.org/wordprocessingml/2006/main" xml:space="preserve"> HYPERLINK "../%D0%92%D0%BA%D0%BB%D1%8E%D1%87%D0%B5%D0%BD%D0%B8%20%D0%BC%D0%B0%D1%82%D0%B5%D1%80%D0%B8%D0%B0%D0%BB%D0%B8%20-%20%D0%BE%D1%81%D0%BD%D0%BE%D0%B2%D0%BD%D0%B8%20%D0%BF%D1%80%D0%B0%D0%B2%D0%BD%D0%B8%20%D0%B0%D0%BA%D1%82%D0%BE%D0%B2%D0%B5/%D0%A1%D1%8A%D0%B2%D0%B5%D1%82%20%D0%BD%D0%B0%20%D0%95%D0%B2%D1%80%D0%BE%D0%BF%D0%B0/%D0%9A%D0%BE%D0%BD%D0%B2%D0%B5%D0%BD%D1%86%D0%B8%D1%8F%20%D0%B7%D0%B0%20%D0%B7%D0%B0%D1%89%D0%B8%D1%82%D0%B0%20%D0%BD%D0%B0%20%D0%BF%D1%80%D0%B0%D0%B2%D0%B0%D1%82%D0%B0%20%D0%BD%D0%B0%20%D1%87%D0%BE%D0%B2%D0%B5%D0%BA%D0%B0%20%D0%B8%20%D0%BE%D1%81%D0%BD%D0%BE%D0%B2%D0%BD%D0%B8%D1%82%D0%B5%20%D1%81%D0%B2%D0%BE%D0%B1%D0%BE%D0%B4%D0%B8.doc" \l "%D0%B5%D0%BA%D0%BF%D1%87%D0%BE%D1%812"</w:instrText>
      </w:r>
      <w:r xmlns:w="http://schemas.openxmlformats.org/wordprocessingml/2006/main">
        <w:rPr>
          <w:rStyle w:val="Hyperlink"/>
          <w:rFonts w:cs="Times New Roman" w:ascii="Times New Roman" w:hAnsi="Times New Roman"/>
        </w:rPr>
        <w:fldChar xmlns:w="http://schemas.openxmlformats.org/wordprocessingml/2006/main" w:fldCharType="separate"/>
      </w:r>
      <w:r xmlns:w="http://schemas.openxmlformats.org/wordprocessingml/2006/main">
        <w:rPr>
          <w:rFonts w:cs="Times New Roman" w:ascii="Times New Roman" w:hAnsi="Times New Roman"/>
        </w:rPr>
        <w:t xml:space="preserve">for the alleged deaths of the applicant's two sons, who disappeared after being detained by the Turkish armed forces.</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V. EXEMPTION FROM THE OBLIGATION UNDER ARTICLE 2:</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Article 15, paragraph 2: “No exemption from the obligations of Article 2 shall be permitted on the basis of the preceding provision except in respect of death resulting from lawful acts of war . . .”.</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This provision differs from the restrictions under Article 2 in its temporary nature, as well as in its specific object and hypothesis – “lawful acts of war”. The application of the provision involves notification to the Secretary General of the Council of Europe of the measures taken, the reasons and the period from which the Convention will be applied again in its entirety.</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It follows from the wording of the text, which differs from that of the first paragraph, that the permissible restrictions relate to death which is an immediate and inevitable consequence of lawful acts of war. The possibility of derogating from the law in other cases of public danger is excluded. The State's margin of appreciation in applying the proportionality test is excluded.</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Since neither the Convention nor the practice of its organs provides a definition of the concept of “lawful acts of war”, recourse should be had to the Third Hague Convention, regulating the conduct of hostilities /Art. 22/, and also to the so-called “humanitarian law”, based on the Geneva Conventions /Art. 3, common to the four conventions, Art. 99 of the Third Geneva Convention and Art. 68 of the Fourth Geneva Convention. The Charter of the UN is also of fundamental importance /Art. 2, para. 4, Art. 51/.</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VI. PROTOCOL NO. 6 AND PROTOCOL NO. 13 ON THE ABOLITION OF THE DEATH PENALTY</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Protocol No. 6 /in force for Bulgaria from 01.10.1999/ contains in its Article 1 a direct prohibition of the death penalty, including the execution of the death penalty after the entry into force of the Protocol, on the basis of a sentence passed before that moment. Article 2 nevertheless preserves the possibility for states to impose the death penalty, in accordance with the provisions of the law, for actions in time of war or imminent threat of war. Article 3 prohibits derogation from the Protocol, through the application of Article 15 - the death penalty may be imposed and executed in time of war or imminent and imminent threat of war, but not in the event that "other public emergency threatens the "existence of the nation". Therefore, the Protocol narrows the scope of application of the death penalty even further. The Protocol prohibits the formulation of reservations /Article 4/ in relation to the Protocol. Only interpretative declarations are admissible - such have been deposited by Switzerland and Germany.</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Protocol No. 13 /in force for Bulgaria since 01.07.2003/ prohibits in its Article 1 the death penalty in all circumstances, including for acts in time of war or imminent threat of war. Articles 2 and 3 prohibit derogation from this provision, as well as the formulation of reservations.</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Both protocols are additional – this means that all provisions of the Convention apply in accordance with these protocols and vice versa – the rights recognized by the Protocol are added to those enshrined in the Convention and are subject to the same legal regime and enjoy the same guarantees.</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VII. CONCLUSION</w:t>
      </w:r>
    </w:p>
    <w:p>
      <w:pPr>
        <w:pStyle w:val="BodyText"/>
        <w:ind w:firstLine="851" w:end="0"/>
        <w:jc w:val="both"/>
        <w:rPr>
          <w:rFonts w:ascii="Times New Roman" w:hAnsi="Times New Roman" w:cs="Times New Roman"/>
        </w:rPr>
      </w:pPr>
      <w:r>
        <w:rPr>
          <w:rFonts w:cs="Times New Roman" w:ascii="Times New Roman" w:hAnsi="Times New Roman"/>
        </w:rPr>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In itself, the proclamation of the right to life is not sufficient for its actual protection. The great merit of the European Convention for the Protection of Human Rights and Fundamental Freedoms is the institutional mechanism for protection that it establishes.</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First of all, it is directly applicable in most of the parties to it, including to third-country nationals and stateless persons in all cases where they are under the jurisdiction of a party to the Convention – it is sufficient that it can exercise authority over them.</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The control of the European Court of Human Rights takes place not only in cases of a violation that has already occurred, but also in cases of a probable violation in relation to a possible victim.</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Control is subsidiary – the European Convention stimulates the prevention and cessation of violations and the elimination of their harmful consequences first and foremost at the national level.</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The Convention explicitly recognizes the right of individual petition (Art. 34), which does not exist in the protection mechanism within the UN.</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The Court's decisions are binding, according to Article 54 of the Convention, and their observance is monitored by the Committee of Ministers of the Council of Europe, which takes measures for their implementation.</w:t>
      </w:r>
    </w:p>
    <w:p>
      <w:pPr xmlns:w="http://schemas.openxmlformats.org/wordprocessingml/2006/main">
        <w:pStyle w:val="BodyText"/>
        <w:ind w:firstLine="851" w:end="0"/>
        <w:jc w:val="both"/>
        <w:rPr>
          <w:rFonts w:ascii="Times New Roman" w:hAnsi="Times New Roman" w:cs="Times New Roman"/>
        </w:rPr>
      </w:pPr>
      <w:r xmlns:w="http://schemas.openxmlformats.org/wordprocessingml/2006/main">
        <w:rPr>
          <w:rFonts w:cs="Times New Roman" w:ascii="Times New Roman" w:hAnsi="Times New Roman"/>
        </w:rPr>
        <w:t xml:space="preserve">Thus, in its entirety, the European Convention establishes reliable protection of human life, which may be violated only in a few exhaustively listed hypotheses and with strict observance of the principles of legality and proportionality. In this way, it builds a solid foundation for the overall system of human rights in Europe.</w:t>
      </w:r>
    </w:p>
    <w:p>
      <w:pPr>
        <w:pStyle w:val="Normal"/>
        <w:rPr>
          <w:rFonts w:ascii="Times New Roman" w:hAnsi="Times New Roman" w:cs="Times New Roman"/>
          <w:sz w:val="24"/>
          <w:lang w:val="bg-BG"/>
        </w:rPr>
      </w:pPr>
      <w:r>
        <w:rPr>
          <w:rFonts w:cs="Times New Roman"/>
          <w:sz w:val="24"/>
          <w:lang w:val="bg-BG"/>
        </w:rPr>
      </w:r>
    </w:p>
    <w:sectPr>
      <w:headerReference w:type="default" r:id="rId12"/>
      <w:footerReference w:type="default" r:id="rId13"/>
      <w:footnotePr>
        <w:numFmt w:val="decimal"/>
      </w:footnotePr>
      <w:type w:val="nextPage"/>
      <w:pgSz w:w="11906" w:h="16838"/>
      <w:pgMar w:left="1701" w:right="1701" w:gutter="0" w:header="680" w:top="1418" w:footer="680" w:bottom="1418"/>
      <w:pgNumType w:start="3"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imes New Roman">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Liberation Sans">
    <w:altName w:val="Arial"/>
    <w:charset w:val="00" w:characterSet="windows-1252"/>
    <w:family w:val="swiss"/>
    <w:pitch w:val="variable"/>
  </w:font>
  <w:font w:name="Verdana">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jc w:val="end"/>
      <w:rPr>
        <w:sz w:val="24"/>
        <w:lang w:val="bg-BG"/>
      </w:rPr>
    </w:pPr>
    <w:r>
      <w:rPr>
        <w:sz w:val="24"/>
        <w:lang w:val="bg-BG"/>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xmlns:w="http://schemas.openxmlformats.org/wordprocessingml/2006/main">
        <w:pStyle w:val="FootnoteText"/>
        <w:jc w:val="both"/>
        <w:rPr/>
      </w:pPr>
      <w:r xmlns:w="http://schemas.openxmlformats.org/wordprocessingml/2006/main">
        <w:rPr>
          <w:rStyle w:val="FootnoteCharacters"/>
        </w:rPr>
        <w:t xml:space="preserve"> </w:t>
      </w:r>
      <w:r xmlns:w="http://schemas.openxmlformats.org/wordprocessingml/2006/main">
        <w:rPr>
          <w:rFonts w:cs="Times New Roman" w:ascii="Times New Roman" w:hAnsi="Times New Roman"/>
          <w:sz w:val="20"/>
          <w:lang w:val="ru-RU"/>
        </w:rPr>
        <w:t xml:space="preserve">The material was provided by the National Institute of Justice with the consent of the author. It is included in this database within the framework of the project “Improving the Administration of Justice in the Sphere of Human Rights Protection in Bulgaria”, implemented by the BAHR Foundation in the period November 2005 - August 2006.</w:t>
      </w:r>
    </w:p>
  </w:footnote>
  <w:footnote w:id="3">
    <w:p>
      <w:pPr xmlns:w="http://schemas.openxmlformats.org/wordprocessingml/2006/main">
        <w:pStyle w:val="FootnoteText"/>
        <w:rPr/>
      </w:pPr>
      <w:r xmlns:w="http://schemas.openxmlformats.org/wordprocessingml/2006/main">
        <w:rPr>
          <w:rStyle w:val="FootnoteCharacters"/>
        </w:rPr>
        <w:t xml:space="preserve"></w:t>
      </w:r>
      <w:r xmlns:w="http://schemas.openxmlformats.org/wordprocessingml/2006/main">
        <w:rPr>
          <w:rStyle w:val="FootnoteCharacters"/>
          <w:rFonts w:eastAsia="Symbol" w:cs="Symbol" w:ascii="Symbol" w:hAnsi="Symbol"/>
        </w:rPr>
        <w:sym xmlns:w="http://schemas.openxmlformats.org/wordprocessingml/2006/main" w:font="Symbol" w:char="f02a"/>
      </w:r>
      <w:r xmlns:w="http://schemas.openxmlformats.org/wordprocessingml/2006/main">
        <w:rPr>
          <w:rFonts w:cs="Times New Roman" w:ascii="Times New Roman" w:hAnsi="Times New Roman"/>
          <w:sz w:val="20"/>
          <w:lang w:val="ru-RU"/>
        </w:rPr>
        <w:t xml:space="preserve"> </w:t>
      </w:r>
      <w:r xmlns:w="http://schemas.openxmlformats.org/wordprocessingml/2006/main">
        <w:rPr>
          <w:rFonts w:cs="Times New Roman" w:ascii="Times New Roman" w:hAnsi="Times New Roman"/>
          <w:sz w:val="20"/>
          <w:lang w:val="bg-BG"/>
        </w:rPr>
        <w:t xml:space="preserve">Judge at the District Court – Varna</w:t>
      </w:r>
    </w:p>
  </w:footnote>
  <w:footnote w:id="4">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X.</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U </w:t>
      </w:r>
      <w:r xmlns:w="http://schemas.openxmlformats.org/wordprocessingml/2006/main">
        <w:rPr>
          <w:rFonts w:cs="Times New Roman" w:ascii="Times New Roman" w:hAnsi="Times New Roman"/>
          <w:sz w:val="20"/>
          <w:lang w:val="bg-BG"/>
        </w:rPr>
        <w:t xml:space="preserve">K, Appeal No. 8416/1978, </w:t>
      </w:r>
      <w:r xmlns:w="http://schemas.openxmlformats.org/wordprocessingml/2006/main">
        <w:rPr>
          <w:rFonts w:cs="Times New Roman" w:ascii="Times New Roman" w:hAnsi="Times New Roman"/>
          <w:sz w:val="20"/>
        </w:rPr>
        <w:t xml:space="preserve">DR </w:t>
      </w:r>
      <w:r xmlns:w="http://schemas.openxmlformats.org/wordprocessingml/2006/main">
        <w:rPr>
          <w:rFonts w:cs="Times New Roman" w:ascii="Times New Roman" w:hAnsi="Times New Roman"/>
          <w:sz w:val="20"/>
          <w:lang w:val="bg-BG"/>
        </w:rPr>
        <w:t xml:space="preserve">19/1980</w:t>
      </w:r>
    </w:p>
  </w:footnote>
  <w:footnote w:id="5">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N.</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Norway </w:t>
      </w:r>
      <w:r xmlns:w="http://schemas.openxmlformats.org/wordprocessingml/2006/main">
        <w:rPr>
          <w:rFonts w:cs="Times New Roman" w:ascii="Times New Roman" w:hAnsi="Times New Roman"/>
          <w:sz w:val="20"/>
          <w:lang w:val="bg-BG"/>
        </w:rPr>
        <w:t xml:space="preserve">, Appeal No. 17004/1990, </w:t>
      </w:r>
      <w:r xmlns:w="http://schemas.openxmlformats.org/wordprocessingml/2006/main">
        <w:rPr>
          <w:rFonts w:cs="Times New Roman" w:ascii="Times New Roman" w:hAnsi="Times New Roman"/>
          <w:sz w:val="20"/>
        </w:rPr>
        <w:t xml:space="preserve">DR </w:t>
      </w:r>
      <w:r xmlns:w="http://schemas.openxmlformats.org/wordprocessingml/2006/main">
        <w:rPr>
          <w:rFonts w:cs="Times New Roman" w:ascii="Times New Roman" w:hAnsi="Times New Roman"/>
          <w:sz w:val="20"/>
          <w:lang w:val="bg-BG"/>
        </w:rPr>
        <w:t xml:space="preserve">73/1992</w:t>
      </w:r>
    </w:p>
  </w:footnote>
  <w:footnote w:id="6">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Vo</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France </w:t>
      </w:r>
      <w:r xmlns:w="http://schemas.openxmlformats.org/wordprocessingml/2006/main">
        <w:rPr>
          <w:rFonts w:cs="Times New Roman" w:ascii="Times New Roman" w:hAnsi="Times New Roman"/>
          <w:sz w:val="20"/>
          <w:lang w:val="bg-BG"/>
        </w:rPr>
        <w:t xml:space="preserve">, application no. 53924/2000, decision of 08.07.2004.</w:t>
      </w:r>
    </w:p>
  </w:footnote>
  <w:footnote w:id="7">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Pretty</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UK </w:t>
      </w:r>
      <w:r xmlns:w="http://schemas.openxmlformats.org/wordprocessingml/2006/main">
        <w:rPr>
          <w:rFonts w:cs="Times New Roman" w:ascii="Times New Roman" w:hAnsi="Times New Roman"/>
          <w:sz w:val="20"/>
          <w:lang w:val="bg-BG"/>
        </w:rPr>
        <w:t xml:space="preserve">, application no. 2346/2002, decision of 29.04.2002.</w:t>
      </w:r>
    </w:p>
  </w:footnote>
  <w:footnote w:id="8">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complaint No. 104/1966, decision of 17.12.1955, A </w:t>
      </w:r>
      <w:r xmlns:w="http://schemas.openxmlformats.org/wordprocessingml/2006/main">
        <w:rPr>
          <w:rFonts w:cs="Times New Roman" w:ascii="Times New Roman" w:hAnsi="Times New Roman"/>
          <w:sz w:val="20"/>
        </w:rPr>
        <w:t xml:space="preserve">nn </w:t>
      </w:r>
      <w:r xmlns:w="http://schemas.openxmlformats.org/wordprocessingml/2006/main">
        <w:rPr>
          <w:rFonts w:cs="Times New Roman" w:ascii="Times New Roman" w:hAnsi="Times New Roman"/>
          <w:sz w:val="20"/>
          <w:lang w:val="bg-BG"/>
        </w:rPr>
        <w:t xml:space="preserve">.1</w:t>
      </w:r>
    </w:p>
  </w:footnote>
  <w:footnote w:id="9">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X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UK </w:t>
      </w:r>
      <w:r xmlns:w="http://schemas.openxmlformats.org/wordprocessingml/2006/main">
        <w:rPr>
          <w:rFonts w:cs="Times New Roman" w:ascii="Times New Roman" w:hAnsi="Times New Roman"/>
          <w:sz w:val="20"/>
          <w:lang w:val="bg-BG"/>
        </w:rPr>
        <w:t xml:space="preserve">, application no. 8278/1978, decision of 13.12.1979, </w:t>
      </w:r>
      <w:r xmlns:w="http://schemas.openxmlformats.org/wordprocessingml/2006/main">
        <w:rPr>
          <w:rFonts w:cs="Times New Roman" w:ascii="Times New Roman" w:hAnsi="Times New Roman"/>
          <w:sz w:val="20"/>
        </w:rPr>
        <w:t xml:space="preserve">DR </w:t>
      </w:r>
      <w:r xmlns:w="http://schemas.openxmlformats.org/wordprocessingml/2006/main">
        <w:rPr>
          <w:rFonts w:cs="Times New Roman" w:ascii="Times New Roman" w:hAnsi="Times New Roman"/>
          <w:sz w:val="20"/>
          <w:lang w:val="bg-BG"/>
        </w:rPr>
        <w:t xml:space="preserve">18/1979</w:t>
      </w:r>
    </w:p>
  </w:footnote>
  <w:footnote w:id="10">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Makaratzis</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Greece </w:t>
      </w:r>
      <w:r xmlns:w="http://schemas.openxmlformats.org/wordprocessingml/2006/main">
        <w:rPr>
          <w:rFonts w:cs="Times New Roman" w:ascii="Times New Roman" w:hAnsi="Times New Roman"/>
          <w:sz w:val="20"/>
          <w:lang w:val="bg-BG"/>
        </w:rPr>
        <w:t xml:space="preserve">, application no. 50385/1999, judgment of 20.12.2004.</w:t>
      </w:r>
    </w:p>
  </w:footnote>
  <w:footnote w:id="11">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Dujardin</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France </w:t>
      </w:r>
      <w:r xmlns:w="http://schemas.openxmlformats.org/wordprocessingml/2006/main">
        <w:rPr>
          <w:rFonts w:cs="Times New Roman" w:ascii="Times New Roman" w:hAnsi="Times New Roman"/>
          <w:sz w:val="20"/>
          <w:lang w:val="bg-BG"/>
        </w:rPr>
        <w:t xml:space="preserve">, Application No. 16734/1990, </w:t>
      </w:r>
      <w:r xmlns:w="http://schemas.openxmlformats.org/wordprocessingml/2006/main">
        <w:rPr>
          <w:rFonts w:cs="Times New Roman" w:ascii="Times New Roman" w:hAnsi="Times New Roman"/>
          <w:sz w:val="20"/>
        </w:rPr>
        <w:t xml:space="preserve">DR </w:t>
      </w:r>
      <w:r xmlns:w="http://schemas.openxmlformats.org/wordprocessingml/2006/main">
        <w:rPr>
          <w:rFonts w:cs="Times New Roman" w:ascii="Times New Roman" w:hAnsi="Times New Roman"/>
          <w:sz w:val="20"/>
          <w:lang w:val="bg-BG"/>
        </w:rPr>
        <w:t xml:space="preserve">72</w:t>
      </w:r>
    </w:p>
  </w:footnote>
  <w:footnote w:id="12">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Ireland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UK </w:t>
      </w:r>
      <w:r xmlns:w="http://schemas.openxmlformats.org/wordprocessingml/2006/main">
        <w:rPr>
          <w:rFonts w:cs="Times New Roman" w:ascii="Times New Roman" w:hAnsi="Times New Roman"/>
          <w:sz w:val="20"/>
          <w:lang w:val="bg-BG"/>
        </w:rPr>
        <w:t xml:space="preserve">, Application No. 5310/1971, judgment of 18.01.1978 </w:t>
      </w:r>
      <w:r xmlns:w="http://schemas.openxmlformats.org/wordprocessingml/2006/main">
        <w:rPr>
          <w:rFonts w:cs="Times New Roman" w:ascii="Times New Roman" w:hAnsi="Times New Roman"/>
          <w:sz w:val="20"/>
          <w:lang w:val="bg-BG"/>
        </w:rPr>
        <w:t xml:space="preserve">.</w:t>
      </w:r>
    </w:p>
  </w:footnote>
  <w:footnote w:id="13">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Ö </w:t>
      </w:r>
      <w:r xmlns:w="http://schemas.openxmlformats.org/wordprocessingml/2006/main">
        <w:rPr>
          <w:rFonts w:cs="Times New Roman" w:ascii="Times New Roman" w:hAnsi="Times New Roman"/>
          <w:sz w:val="20"/>
        </w:rPr>
        <w:t xml:space="preserve">neryildiz</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Turkey </w:t>
      </w:r>
      <w:r xmlns:w="http://schemas.openxmlformats.org/wordprocessingml/2006/main">
        <w:rPr>
          <w:rFonts w:cs="Times New Roman" w:ascii="Times New Roman" w:hAnsi="Times New Roman"/>
          <w:sz w:val="20"/>
          <w:lang w:val="bg-BG"/>
        </w:rPr>
        <w:t xml:space="preserve">, application no. 48939/99, judgment of 30.11.2004.</w:t>
      </w:r>
    </w:p>
  </w:footnote>
  <w:footnote w:id="14">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Osman</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UK </w:t>
      </w:r>
      <w:r xmlns:w="http://schemas.openxmlformats.org/wordprocessingml/2006/main">
        <w:rPr>
          <w:rFonts w:cs="Times New Roman" w:ascii="Times New Roman" w:hAnsi="Times New Roman"/>
          <w:sz w:val="20"/>
          <w:lang w:val="bg-BG"/>
        </w:rPr>
        <w:t xml:space="preserve">, application no. 87/97/871/1083, decision of 28.10.1998.</w:t>
      </w:r>
    </w:p>
  </w:footnote>
  <w:footnote w:id="15">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rPr>
        <w:t xml:space="preserve">Menson and others, </w:t>
      </w:r>
      <w:r xmlns:w="http://schemas.openxmlformats.org/wordprocessingml/2006/main">
        <w:rPr>
          <w:rFonts w:cs="Times New Roman" w:ascii="Times New Roman" w:hAnsi="Times New Roman"/>
          <w:sz w:val="20"/>
          <w:lang w:val="bg-BG"/>
        </w:rPr>
        <w:t xml:space="preserve">application </w:t>
      </w:r>
      <w:r xmlns:w="http://schemas.openxmlformats.org/wordprocessingml/2006/main">
        <w:rPr>
          <w:rFonts w:cs="Times New Roman" w:ascii="Times New Roman" w:hAnsi="Times New Roman"/>
          <w:sz w:val="20"/>
        </w:rPr>
        <w:t xml:space="preserve">no 47916/1999, ECHR 2003-V</w:t>
      </w:r>
    </w:p>
  </w:footnote>
  <w:footnote w:id="16">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Salman</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Turkey </w:t>
      </w:r>
      <w:r xmlns:w="http://schemas.openxmlformats.org/wordprocessingml/2006/main">
        <w:rPr>
          <w:rFonts w:cs="Times New Roman" w:ascii="Times New Roman" w:hAnsi="Times New Roman"/>
          <w:sz w:val="20"/>
          <w:lang w:val="bg-BG"/>
        </w:rPr>
        <w:t xml:space="preserve">, application no. 21986/93, judgment of 27.06.2000.</w:t>
      </w:r>
    </w:p>
  </w:footnote>
  <w:footnote w:id="17">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Kaya</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Turkey </w:t>
      </w:r>
      <w:r xmlns:w="http://schemas.openxmlformats.org/wordprocessingml/2006/main">
        <w:rPr>
          <w:rFonts w:cs="Times New Roman" w:ascii="Times New Roman" w:hAnsi="Times New Roman"/>
          <w:sz w:val="20"/>
          <w:lang w:val="bg-BG"/>
        </w:rPr>
        <w:t xml:space="preserve">, decision of 19.02.1998, </w:t>
      </w:r>
      <w:r xmlns:w="http://schemas.openxmlformats.org/wordprocessingml/2006/main">
        <w:rPr>
          <w:rFonts w:cs="Times New Roman" w:ascii="Times New Roman" w:hAnsi="Times New Roman"/>
          <w:sz w:val="20"/>
        </w:rPr>
        <w:t xml:space="preserve">ECHR </w:t>
      </w:r>
      <w:r xmlns:w="http://schemas.openxmlformats.org/wordprocessingml/2006/main">
        <w:rPr>
          <w:rFonts w:cs="Times New Roman" w:ascii="Times New Roman" w:hAnsi="Times New Roman"/>
          <w:sz w:val="20"/>
          <w:lang w:val="bg-BG"/>
        </w:rPr>
        <w:t xml:space="preserve">2000-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II</w:t>
      </w:r>
    </w:p>
  </w:footnote>
  <w:footnote w:id="18">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Finucane</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UK </w:t>
      </w:r>
      <w:r xmlns:w="http://schemas.openxmlformats.org/wordprocessingml/2006/main">
        <w:rPr>
          <w:rFonts w:cs="Times New Roman" w:ascii="Times New Roman" w:hAnsi="Times New Roman"/>
          <w:sz w:val="20"/>
          <w:lang w:val="bg-BG"/>
        </w:rPr>
        <w:t xml:space="preserve">, application no. 29178/1995, decision of 01.07.2003.</w:t>
      </w:r>
    </w:p>
  </w:footnote>
  <w:footnote w:id="19">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decision of 18.05.2000</w:t>
      </w:r>
    </w:p>
  </w:footnote>
  <w:footnote w:id="20">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decision of 13.06.2002</w:t>
      </w:r>
    </w:p>
  </w:footnote>
  <w:footnote w:id="21">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decision of 26.02.2004 and </w:t>
      </w:r>
      <w:hyperlink xmlns:w="http://schemas.openxmlformats.org/wordprocessingml/2006/main" xmlns:r="http://schemas.openxmlformats.org/officeDocument/2006/relationships" r:id="rId1">
        <w:r xmlns:w="http://schemas.openxmlformats.org/wordprocessingml/2006/main">
          <w:rPr>
            <w:rStyle w:val="Hyperlink"/>
            <w:rFonts w:cs="Times New Roman" w:ascii="Times New Roman" w:hAnsi="Times New Roman"/>
            <w:sz w:val="20"/>
            <w:lang w:val="bg-BG"/>
          </w:rPr>
          <w:t xml:space="preserve">decision of the Grand Chamber </w:t>
        </w:r>
      </w:hyperlink>
      <w:r xmlns:w="http://schemas.openxmlformats.org/wordprocessingml/2006/main">
        <w:rPr>
          <w:rFonts w:cs="Times New Roman" w:ascii="Times New Roman" w:hAnsi="Times New Roman"/>
          <w:sz w:val="20"/>
          <w:lang w:val="bg-BG"/>
        </w:rPr>
        <w:t xml:space="preserve">of 06.07.2005.</w:t>
      </w:r>
    </w:p>
  </w:footnote>
  <w:footnote w:id="22">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decision of 23.02.2006</w:t>
      </w:r>
    </w:p>
  </w:footnote>
  <w:footnote w:id="23">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Kurt</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Turkey </w:t>
      </w:r>
      <w:r xmlns:w="http://schemas.openxmlformats.org/wordprocessingml/2006/main">
        <w:rPr>
          <w:rFonts w:cs="Times New Roman" w:ascii="Times New Roman" w:hAnsi="Times New Roman"/>
          <w:sz w:val="20"/>
          <w:lang w:val="bg-BG"/>
        </w:rPr>
        <w:t xml:space="preserve">, judgment of 25.05.1998.</w:t>
      </w:r>
    </w:p>
  </w:footnote>
  <w:footnote w:id="24">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Ir </w:t>
      </w:r>
      <w:r xmlns:w="http://schemas.openxmlformats.org/wordprocessingml/2006/main">
        <w:rPr>
          <w:rFonts w:cs="Times New Roman" w:ascii="Times New Roman" w:hAnsi="Times New Roman"/>
          <w:sz w:val="20"/>
          <w:lang w:val="bg-BG"/>
        </w:rPr>
        <w:t xml:space="preserve">is </w:t>
      </w:r>
      <w:r xmlns:w="http://schemas.openxmlformats.org/wordprocessingml/2006/main">
        <w:rPr>
          <w:rFonts w:cs="Times New Roman" w:ascii="Times New Roman" w:hAnsi="Times New Roman"/>
          <w:sz w:val="20"/>
        </w:rPr>
        <w:t xml:space="preserve">land</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UK </w:t>
      </w:r>
      <w:r xmlns:w="http://schemas.openxmlformats.org/wordprocessingml/2006/main">
        <w:rPr>
          <w:rFonts w:cs="Times New Roman" w:ascii="Times New Roman" w:hAnsi="Times New Roman"/>
          <w:sz w:val="20"/>
          <w:lang w:val="bg-BG"/>
        </w:rPr>
        <w:t xml:space="preserve">, A-25, judgment of 18.01.1978.</w:t>
      </w:r>
    </w:p>
  </w:footnote>
  <w:footnote w:id="25">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rPr>
        <w:t xml:space="preserve">McCann and others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judgment of 27.09.1995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A-323</w:t>
      </w:r>
    </w:p>
  </w:footnote>
  <w:footnote w:id="26">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Airey </w:t>
      </w:r>
      <w:r xmlns:w="http://schemas.openxmlformats.org/wordprocessingml/2006/main">
        <w:rPr>
          <w:rFonts w:cs="Times New Roman" w:ascii="Times New Roman" w:hAnsi="Times New Roman"/>
          <w:sz w:val="20"/>
          <w:lang w:val="bg-BG"/>
        </w:rPr>
        <w:t xml:space="preserve">, decision of 09.10.1979, A-32</w:t>
      </w:r>
    </w:p>
  </w:footnote>
  <w:footnote w:id="27">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rPr>
        <w:t xml:space="preserve">Fox, Campbell and Hartney, </w:t>
      </w:r>
      <w:r xmlns:w="http://schemas.openxmlformats.org/wordprocessingml/2006/main">
        <w:rPr>
          <w:rFonts w:cs="Times New Roman" w:ascii="Times New Roman" w:hAnsi="Times New Roman"/>
          <w:sz w:val="20"/>
          <w:lang w:val="bg-BG"/>
        </w:rPr>
        <w:t xml:space="preserve">decision of 28.06.1984, </w:t>
      </w:r>
      <w:r xmlns:w="http://schemas.openxmlformats.org/wordprocessingml/2006/main">
        <w:rPr>
          <w:rFonts w:cs="Times New Roman" w:ascii="Times New Roman" w:hAnsi="Times New Roman"/>
          <w:sz w:val="20"/>
        </w:rPr>
        <w:t xml:space="preserve">A-80</w:t>
      </w:r>
    </w:p>
  </w:footnote>
  <w:footnote w:id="28">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McCann</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and</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others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ibid </w:t>
      </w:r>
      <w:r xmlns:w="http://schemas.openxmlformats.org/wordprocessingml/2006/main">
        <w:rPr>
          <w:rFonts w:cs="Times New Roman" w:ascii="Times New Roman" w:hAnsi="Times New Roman"/>
          <w:sz w:val="20"/>
          <w:lang w:val="bg-BG"/>
        </w:rPr>
        <w:t xml:space="preserve">.</w:t>
      </w:r>
    </w:p>
  </w:footnote>
  <w:footnote w:id="29">
    <w:p>
      <w:pPr xmlns:w="http://schemas.openxmlformats.org/wordprocessingml/2006/main">
        <w:pStyle w:val="FootnoteText"/>
        <w:rPr/>
      </w:pPr>
      <w:r xmlns:w="http://schemas.openxmlformats.org/wordprocessingml/2006/main">
        <w:rPr>
          <w:rStyle w:val="FootnoteCharacters"/>
        </w:rPr>
        <w:footnoteRef xmlns:w="http://schemas.openxmlformats.org/wordprocessingml/2006/main"/>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Silk</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v </w:t>
      </w:r>
      <w:r xmlns:w="http://schemas.openxmlformats.org/wordprocessingml/2006/main">
        <w:rPr>
          <w:rFonts w:cs="Times New Roman" w:ascii="Times New Roman" w:hAnsi="Times New Roman"/>
          <w:sz w:val="20"/>
          <w:lang w:val="bg-BG"/>
        </w:rPr>
        <w:t xml:space="preserve">. </w:t>
      </w:r>
      <w:r xmlns:w="http://schemas.openxmlformats.org/wordprocessingml/2006/main">
        <w:rPr>
          <w:rFonts w:cs="Times New Roman" w:ascii="Times New Roman" w:hAnsi="Times New Roman"/>
          <w:sz w:val="20"/>
        </w:rPr>
        <w:t xml:space="preserve">Turkey </w:t>
      </w:r>
      <w:r xmlns:w="http://schemas.openxmlformats.org/wordprocessingml/2006/main">
        <w:rPr>
          <w:rFonts w:cs="Times New Roman" w:ascii="Times New Roman" w:hAnsi="Times New Roman"/>
          <w:sz w:val="20"/>
          <w:lang w:val="bg-BG"/>
        </w:rPr>
        <w:t xml:space="preserve">, application no. 25760/1994, judgment of 17.02.2004.</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lang w:val="bg-BG"/>
      </w:rPr>
    </w:pPr>
    <w:r>
      <w:rPr>
        <w:sz w:val="24"/>
        <w:lang w:val="bg-BG"/>
      </w:rPr>
    </w:r>
  </w:p>
</w:hdr>
</file>

<file path=word/settings.xml><?xml version="1.0" encoding="utf-8"?>
<w:settings xmlns:w="http://schemas.openxmlformats.org/wordprocessingml/2006/main">
  <w:zoom w:percent="107"/>
  <w:defaultTabStop w:val="720"/>
  <w:autoHyphenation w:val="true"/>
  <w:hyphenationZone w:val="0"/>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 w:bidi="ar-SA" w:eastAsia="zh-C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3z0">
    <w:name w:val="WW8Num3z0"/>
    <w:qFormat/>
    <w:rPr>
      <w:sz w:val="22"/>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6z0">
    <w:name w:val="WW8Num6z0"/>
    <w:qFormat/>
    <w:rPr>
      <w:rFonts w:ascii="Wingdings" w:hAnsi="Wingdings" w:cs="Wingdings"/>
    </w:rPr>
  </w:style>
  <w:style w:type="character" w:styleId="WW8Num6z1">
    <w:name w:val="WW8Num6z1"/>
    <w:qFormat/>
    <w:rPr>
      <w:rFonts w:ascii="Symbol" w:hAnsi="Symbol" w:cs="Symbol"/>
    </w:rPr>
  </w:style>
  <w:style w:type="character" w:styleId="WW8Num6z4">
    <w:name w:val="WW8Num6z4"/>
    <w:qFormat/>
    <w:rPr>
      <w:rFonts w:ascii="Courier New" w:hAnsi="Courier New" w:cs="Courier New"/>
    </w:rPr>
  </w:style>
  <w:style w:type="character" w:styleId="DefaultParagraphFont">
    <w:name w:val="Default Paragraph Font"/>
    <w:qFormat/>
    <w:rPr/>
  </w:style>
  <w:style w:type="character" w:styleId="FootnoteCharacters">
    <w:name w:val="Footnote Characters"/>
    <w:basedOn w:val="DefaultParagraphFont"/>
    <w:qFormat/>
    <w:rPr>
      <w:vertAlign w:val="superscript"/>
    </w:rPr>
  </w:style>
  <w:style w:type="character" w:styleId="PageNumber">
    <w:name w:val="page number"/>
    <w:basedOn w:val="DefaultParagraphFont"/>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jc w:val="center"/>
    </w:pPr>
    <w:rPr>
      <w:rFonts w:ascii="Courier New" w:hAnsi="Courier New" w:cs="Courier New"/>
      <w:sz w:val="24"/>
      <w:lang w:val="e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lockText">
    <w:name w:val="Block Text"/>
    <w:basedOn w:val="Normal"/>
    <w:qFormat/>
    <w:pPr>
      <w:tabs>
        <w:tab w:val="left" w:pos="720" w:leader="none"/>
        <w:tab w:val="left" w:pos="8640" w:leader="none"/>
      </w:tabs>
      <w:ind w:firstLine="630" w:start="720" w:end="810"/>
      <w:jc w:val="both"/>
    </w:pPr>
    <w:rPr>
      <w:rFonts w:ascii="Verdana" w:hAnsi="Verdana" w:cs="Verdana"/>
      <w:sz w:val="24"/>
      <w:lang w:val="en"/>
    </w:rPr>
  </w:style>
  <w:style w:type="paragraph" w:styleId="FootnoteText">
    <w:name w:val="footnote text"/>
    <w:basedOn w:val="Normal"/>
    <w:pPr>
      <w:widowControl w:val="false"/>
      <w:overflowPunct w:val="false"/>
      <w:autoSpaceDE w:val="false"/>
      <w:textAlignment w:val="baseline"/>
    </w:pPr>
    <w:rPr>
      <w:rFonts w:ascii="Courier New" w:hAnsi="Courier New" w:cs="Courier New"/>
      <w:sz w:val="24"/>
      <w:lang w:val="en"/>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1042;&#1082;&#1083;&#1102;&#1095;&#1077;&#1085;&#1080;%20&#1084;&#1072;&#1090;&#1077;&#1088;&#1080;&#1072;&#1083;&#1080;%20-%20&#1087;&#1088;&#1072;&#1082;&#1090;&#1080;&#1082;&#1072;%20&#1085;&#1072;%20&#1045;&#1057;&#1055;&#1063;/&#1042;&#1086;%20&#1089;&#1088;&#1077;&#1097;&#1091;%20&#1060;&#1088;&#1072;&#1085;&#1094;&#1080;&#1103;.doc" TargetMode="External"/><Relationship Id="rId3" Type="http://schemas.openxmlformats.org/officeDocument/2006/relationships/hyperlink" Target="../&#1042;&#1082;&#1083;&#1102;&#1095;&#1077;&#1085;&#1080;%20&#1084;&#1072;&#1090;&#1077;&#1088;&#1080;&#1072;&#1083;&#1080;%20-%20&#1087;&#1088;&#1072;&#1082;&#1090;&#1080;&#1082;&#1072;%20&#1085;&#1072;%20&#1045;&#1057;&#1055;&#1063;/&#1052;&#1072;&#1082;&#1072;&#1088;&#1072;&#1094;&#1080;&#1089;%20&#1089;&#1088;&#1077;&#1097;&#1091;%20&#1043;&#1098;&#1088;&#1094;&#1080;&#1103;.doc" TargetMode="External"/><Relationship Id="rId4" Type="http://schemas.openxmlformats.org/officeDocument/2006/relationships/hyperlink" Target="../&#1042;&#1082;&#1083;&#1102;&#1095;&#1077;&#1085;&#1080;%20&#1084;&#1072;&#1090;&#1077;&#1088;&#1080;&#1072;&#1083;&#1080;%20-%20&#1087;&#1088;&#1072;&#1082;&#1090;&#1080;&#1082;&#1072;%20&#1085;&#1072;%20&#1045;&#1057;&#1055;&#1063;/&#1054;&#1085;&#1077;&#1088;&#1081;&#1098;&#1083;&#1076;&#1098;&#1079;%20&#1089;&#1088;&#1077;&#1097;&#1091;%20&#1058;&#1091;&#1088;&#1094;&#1080;&#1103;.doc" TargetMode="External"/><Relationship Id="rId5" Type="http://schemas.openxmlformats.org/officeDocument/2006/relationships/hyperlink" Target="../&#1042;&#1082;&#1083;&#1102;&#1095;&#1077;&#1085;&#1080;%20&#1084;&#1072;&#1090;&#1077;&#1088;&#1080;&#1072;&#1083;&#1080;%20-%20&#1087;&#1088;&#1072;&#1082;&#1090;&#1080;&#1082;&#1072;%20&#1085;&#1072;%20&#1045;&#1057;&#1055;&#1063;/&#1054;&#1089;&#1084;&#1072;&#1085;%20&#1089;&#1088;&#1077;&#1097;&#1091;%20&#1041;&#1098;&#1083;&#1075;&#1072;&#1088;&#1080;&#1103;.doc" TargetMode="External"/><Relationship Id="rId6" Type="http://schemas.openxmlformats.org/officeDocument/2006/relationships/hyperlink" Target="../&#1042;&#1082;&#1083;&#1102;&#1095;&#1077;&#1085;&#1080;%20&#1084;&#1072;&#1090;&#1077;&#1088;&#1080;&#1072;&#1083;&#1080;%20-%20&#1087;&#1088;&#1072;&#1082;&#1090;&#1080;&#1082;&#1072;%20&#1085;&#1072;%20&#1045;&#1057;&#1055;&#1063;/&#1042;&#1077;&#1083;&#1080;&#1082;&#1086;&#1074;&#1072;%20&#1089;&#1088;&#1077;&#1097;&#1091;%20&#1041;&#1098;&#1083;&#1075;&#1072;&#1088;&#1080;&#1103;.doc" TargetMode="External"/><Relationship Id="rId7" Type="http://schemas.openxmlformats.org/officeDocument/2006/relationships/hyperlink" Target="../&#1042;&#1082;&#1083;&#1102;&#1095;&#1077;&#1085;&#1080;%20&#1084;&#1072;&#1090;&#1077;&#1088;&#1080;&#1072;&#1083;&#1080;%20-%20&#1087;&#1088;&#1072;&#1082;&#1090;&#1080;&#1082;&#1072;%20&#1085;&#1072;%20&#1045;&#1057;&#1055;&#1063;/&#1040;&#1085;&#1075;&#1077;&#1083;&#1086;&#1074;&#1072;%20&#1089;&#1088;&#1077;&#1097;&#1091;%20&#1041;&#1098;&#1083;&#1075;&#1072;&#1088;&#1080;&#1103;.doc" TargetMode="External"/><Relationship Id="rId8" Type="http://schemas.openxmlformats.org/officeDocument/2006/relationships/hyperlink" Target="../&#1042;&#1082;&#1083;&#1102;&#1095;&#1077;&#1085;&#1080;%20&#1084;&#1072;&#1090;&#1077;&#1088;&#1080;&#1072;&#1083;&#1080;%20-%20&#1087;&#1088;&#1072;&#1082;&#1090;&#1080;&#1082;&#1072;%20&#1085;&#1072;%20&#1045;&#1057;&#1055;&#1063;/&#1053;&#1072;&#1095;&#1086;&#1074;&#1072;%20&#1080;%20&#1076;&#1088;.%20&#1089;&#1088;&#1077;&#1097;&#1091;%20&#1041;&#1098;&#1083;&#1075;&#1072;&#1088;&#1080;&#1103;.doc" TargetMode="External"/><Relationship Id="rId9" Type="http://schemas.openxmlformats.org/officeDocument/2006/relationships/hyperlink" Target="../&#1042;&#1082;&#1083;&#1102;&#1095;&#1077;&#1085;&#1080;%20&#1084;&#1072;&#1090;&#1077;&#1088;&#1080;&#1072;&#1083;&#1080;%20-%20&#1087;&#1088;&#1072;&#1082;&#1090;&#1080;&#1082;&#1072;%20&#1085;&#1072;%20&#1045;&#1057;&#1055;&#1063;/&#1040;&#1085;&#1075;&#1077;&#1083;&#1086;&#1074;&#1072;%20&#1089;&#1088;&#1077;&#1097;&#1091;%20&#1041;&#1098;&#1083;&#1075;&#1072;&#1088;&#1080;&#1103;.doc" TargetMode="External"/><Relationship Id="rId10" Type="http://schemas.openxmlformats.org/officeDocument/2006/relationships/hyperlink" Target="../&#1042;&#1082;&#1083;&#1102;&#1095;&#1077;&#1085;&#1080;%20&#1084;&#1072;&#1090;&#1077;&#1088;&#1080;&#1072;&#1083;&#1080;%20-%20&#1087;&#1088;&#1072;&#1082;&#1090;&#1080;&#1082;&#1072;%20&#1085;&#1072;%20&#1045;&#1057;&#1055;&#1063;/&#1048;&#1088;&#1083;&#1072;&#1085;&#1076;&#1080;&#1103;%20&#1089;&#1088;&#1077;&#1097;&#1091;%20&#1054;&#1073;&#1077;&#1076;&#1080;&#1085;&#1077;&#1085;&#1086;&#1090;&#1086;%20&#1082;&#1088;&#1072;&#1083;&#1089;&#1090;&#1074;&#1086;.doc" TargetMode="External"/><Relationship Id="rId11" Type="http://schemas.openxmlformats.org/officeDocument/2006/relationships/hyperlink" Target="../&#1042;&#1082;&#1083;&#1102;&#1095;&#1077;&#1085;&#1080;%20&#1084;&#1072;&#1090;&#1077;&#1088;&#1080;&#1072;&#1083;&#1080;%20-%20&#1087;&#1088;&#1072;&#1082;&#1090;&#1080;&#1082;&#1072;%20&#1085;&#1072;%20&#1045;&#1057;&#1055;&#1063;/&#1052;&#1072;&#1082;&#1082;&#1077;&#1085;%20&#1080;%20&#1076;&#1088;.%20&#1089;&#1088;&#1077;&#1097;&#1091;%20&#1054;&#1073;&#1077;&#1076;&#1080;&#1085;&#1077;&#1085;&#1086;&#1090;&#1086;%20&#1082;&#1088;&#1072;&#1083;&#1089;&#1090;&#1074;&#1086;.doc"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notes" Target="footnotes.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1042;&#1082;&#1083;&#1102;&#1095;&#1077;&#1085;&#1080;%20&#1084;&#1072;&#1090;&#1077;&#1088;&#1080;&#1072;&#1083;&#1080;%20-%20&#1087;&#1088;&#1072;&#1082;&#1090;&#1080;&#1082;&#1072;%20&#1085;&#1072;%20&#1045;&#1057;&#1055;&#1063;/&#1053;&#1072;&#1095;&#1086;&#1074;&#1072;%20&#1080;%20&#1076;&#1088;.%20&#1089;&#1088;&#1077;&#1097;&#1091;%20&#1041;&#1098;&#1083;&#1075;&#1072;&#1088;&#1080;&#1103;%20-%20&#1088;&#1077;&#1096;.%20&#1085;&#1072;%20&#1043;&#1086;&#1083;&#1103;&#1084;&#1086;&#1090;&#1086;%20&#1086;&#1090;&#1076;&#1077;&#1083;&#1077;&#1085;&#1080;&#1077;.doc"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0</TotalTime>
  <Application>LibreOffice/26.2.1.2$Windows_X86_64 LibreOffice_project/620$Build-2</Application>
  <AppVersion>15.0000</AppVersion>
  <Pages>2</Pages>
  <Words>4253</Words>
  <Characters>23845</Characters>
  <CharactersWithSpaces>28058</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2010-09-14T15:43:00Z</dcterms:created>
  <dc:creator>.</dc:creator>
  <dc:description/>
  <dc:language>en-US</dc:language>
  <cp:lastModifiedBy>Bimmer</cp:lastModifiedBy>
  <dcterms:modified xsi:type="dcterms:W3CDTF">2010-09-14T15:43:00Z</dcterms:modified>
  <cp:revision>2</cp:revision>
  <dc:subject/>
  <dc:title>ЗАЩИТА НА ПРАВОТО НА ЖИВОТ ПО ЧЛ</dc:title>
</cp:coreProperties>
</file>